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Chartered accountant CV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 | [LinkedIn or portfolio]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PROFILE</w:t>
      </w:r>
    </w:p>
    <w:p>
      <w:pPr>
        <w:spacing w:after="110"/>
      </w:pPr>
      <w:r>
        <w:t xml:space="preserve">[Your role, relevant experience, and strongest qualifications]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PROFESSIONAL MEMBERSHIP AND CREDENTIALS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AUDIT, TAX, OR REPORTING EXPERIENCE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SYSTEMS, CLIENTS, AND EDUCATION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2026-09-28T16:23:57.531Z</dcterms:created>
  <dcterms:modified xsi:type="dcterms:W3CDTF">2026-09-28T16:23:57.531Z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